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D6" w:rsidRPr="009E20D6" w:rsidRDefault="009E20D6" w:rsidP="009E20D6">
      <w:pPr>
        <w:shd w:val="clear" w:color="auto" w:fill="FFFFFF"/>
        <w:spacing w:after="255" w:line="312" w:lineRule="atLeast"/>
        <w:outlineLvl w:val="2"/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</w:pPr>
      <w:r w:rsidRPr="009E20D6"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  <w:t>Quelle argile choisir?</w:t>
      </w:r>
    </w:p>
    <w:p w:rsidR="009E20D6" w:rsidRPr="009E20D6" w:rsidRDefault="009E20D6" w:rsidP="009E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Jade Allègre conseille de se fier à son </w:t>
      </w: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instinct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. Achetez plusieurs argiles différentes, préparez-les comme décrit précédemment, puis </w:t>
      </w: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goûtez-les successivement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. Celle qui vous laisse </w:t>
      </w: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le goût le plus attirant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en bouche est la bonne!</w:t>
      </w: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9E20D6" w:rsidRDefault="009E20D6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  <w:r>
        <w:rPr>
          <w:rFonts w:ascii="Arial" w:hAnsi="Arial" w:cs="Arial"/>
          <w:color w:val="313131"/>
          <w:sz w:val="23"/>
          <w:szCs w:val="23"/>
        </w:rPr>
        <w:t>Ceci étant dit, l’</w:t>
      </w:r>
      <w:r>
        <w:rPr>
          <w:rStyle w:val="lev"/>
          <w:rFonts w:ascii="Arial" w:hAnsi="Arial" w:cs="Arial"/>
          <w:color w:val="313131"/>
          <w:sz w:val="23"/>
          <w:szCs w:val="23"/>
        </w:rPr>
        <w:t>argile verte illite</w:t>
      </w:r>
      <w:r>
        <w:rPr>
          <w:rFonts w:ascii="Arial" w:hAnsi="Arial" w:cs="Arial"/>
          <w:color w:val="313131"/>
          <w:sz w:val="23"/>
          <w:szCs w:val="23"/>
        </w:rPr>
        <w:t> est souvent citée comme étant une des plus puissantes, mais attention à ne pas trop mentaliser les choses pour ne pas fausser votre instinct! Il faudra surtout veiller à ce qu’elle n’ait </w:t>
      </w:r>
      <w:r>
        <w:rPr>
          <w:rStyle w:val="lev"/>
          <w:rFonts w:ascii="Arial" w:hAnsi="Arial" w:cs="Arial"/>
          <w:color w:val="313131"/>
          <w:sz w:val="23"/>
          <w:szCs w:val="23"/>
        </w:rPr>
        <w:t>pas été chauffée à haute température</w:t>
      </w:r>
      <w:r>
        <w:rPr>
          <w:rFonts w:ascii="Arial" w:hAnsi="Arial" w:cs="Arial"/>
          <w:color w:val="313131"/>
          <w:sz w:val="23"/>
          <w:szCs w:val="23"/>
        </w:rPr>
        <w:t>, comme le pratiquent certains fabricants.</w:t>
      </w:r>
    </w:p>
    <w:p w:rsidR="009E20D6" w:rsidRDefault="009E20D6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  <w:r>
        <w:rPr>
          <w:rStyle w:val="lev"/>
          <w:rFonts w:ascii="Arial" w:hAnsi="Arial" w:cs="Arial"/>
          <w:color w:val="313131"/>
          <w:sz w:val="23"/>
          <w:szCs w:val="23"/>
        </w:rPr>
        <w:t>Et pour la granulométrie?</w:t>
      </w:r>
      <w:r>
        <w:rPr>
          <w:rFonts w:ascii="Arial" w:hAnsi="Arial" w:cs="Arial"/>
          <w:color w:val="313131"/>
          <w:sz w:val="23"/>
          <w:szCs w:val="23"/>
        </w:rPr>
        <w:t> Mieux vaudra bien sûr une argile </w:t>
      </w:r>
      <w:r>
        <w:rPr>
          <w:rStyle w:val="lev"/>
          <w:rFonts w:ascii="Arial" w:hAnsi="Arial" w:cs="Arial"/>
          <w:color w:val="313131"/>
          <w:sz w:val="23"/>
          <w:szCs w:val="23"/>
        </w:rPr>
        <w:t>surfine ou ventilée</w:t>
      </w:r>
      <w:r>
        <w:rPr>
          <w:rFonts w:ascii="Arial" w:hAnsi="Arial" w:cs="Arial"/>
          <w:color w:val="313131"/>
          <w:sz w:val="23"/>
          <w:szCs w:val="23"/>
        </w:rPr>
        <w:t>, car boire du sable n’est pas des plus agréables! (Il sera également pertinent d’utiliser celle-là pour réaliser des cataplasmes.)</w:t>
      </w:r>
    </w:p>
    <w:p w:rsidR="005C1740" w:rsidRDefault="005C1740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</w:p>
    <w:p w:rsidR="005C1740" w:rsidRDefault="005C1740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</w:p>
    <w:p w:rsidR="005C1740" w:rsidRPr="005C1740" w:rsidRDefault="005C1740" w:rsidP="005C1740">
      <w:pPr>
        <w:shd w:val="clear" w:color="auto" w:fill="FFFFFF"/>
        <w:spacing w:after="255" w:line="312" w:lineRule="atLeast"/>
        <w:outlineLvl w:val="2"/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</w:pPr>
      <w:r w:rsidRPr="005C1740"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  <w:t>En interne, pour quels usages?</w:t>
      </w:r>
    </w:p>
    <w:p w:rsidR="005C1740" w:rsidRPr="005C1740" w:rsidRDefault="005C1740" w:rsidP="005C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La thèse de Jade Allègre laisse entrevoir</w:t>
      </w:r>
      <w:r w:rsidRPr="005C1740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 des usages extrêmement nombreux et variés</w:t>
      </w:r>
      <w:r w:rsidRPr="005C1740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(à partir de la page 45 de sa thèse):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la complémentation en minéraux (magnésium, calcium, manganèse, zinc….)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parasites intestinaux dont les vers ou oxyures répandus chez les enfants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 xml:space="preserve">les problèmes digestifs: </w:t>
      </w:r>
      <w:proofErr w:type="spellStart"/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Crohn</w:t>
      </w:r>
      <w:proofErr w:type="spellEnd"/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, ulcères, hernies, plaies internes, inflammations…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gastro-entérites bactériennes et virales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gaz intestinaux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vomissements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l’épilepsie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l’insomnie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l’asthénie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dermatoses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rhumatismes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cystites (infections urinaires)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empoisonnements aux herbicides (</w:t>
      </w:r>
      <w:proofErr w:type="spellStart"/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paraquat</w:t>
      </w:r>
      <w:proofErr w:type="spellEnd"/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), à la mort au rat ou aux aflatoxines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 paludisme, la malaria, la peste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hémorragies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pertes vaginales</w:t>
      </w:r>
    </w:p>
    <w:p w:rsidR="005C1740" w:rsidRPr="005C1740" w:rsidRDefault="005C1740" w:rsidP="005C174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5C1740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RGO chez les nourrissons…</w:t>
      </w:r>
    </w:p>
    <w:p w:rsidR="005C1740" w:rsidRDefault="005C1740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9E20D6" w:rsidRPr="009E20D6" w:rsidRDefault="009E20D6" w:rsidP="009E20D6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</w:pPr>
      <w:r w:rsidRPr="009E20D6"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  <w:t>Gastro-entérites, diarrhées</w:t>
      </w:r>
    </w:p>
    <w:p w:rsidR="009E20D6" w:rsidRDefault="009E20D6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  <w:r>
        <w:rPr>
          <w:rFonts w:ascii="Arial" w:hAnsi="Arial" w:cs="Arial"/>
          <w:color w:val="313131"/>
          <w:sz w:val="23"/>
          <w:szCs w:val="23"/>
        </w:rPr>
        <w:t>Son conseil est d’utiliser la</w:t>
      </w:r>
      <w:r>
        <w:rPr>
          <w:rStyle w:val="lev"/>
          <w:rFonts w:ascii="Arial" w:hAnsi="Arial" w:cs="Arial"/>
          <w:color w:val="313131"/>
          <w:sz w:val="23"/>
          <w:szCs w:val="23"/>
        </w:rPr>
        <w:t> main du malade</w:t>
      </w:r>
      <w:r>
        <w:rPr>
          <w:rFonts w:ascii="Arial" w:hAnsi="Arial" w:cs="Arial"/>
          <w:color w:val="313131"/>
          <w:sz w:val="23"/>
          <w:szCs w:val="23"/>
        </w:rPr>
        <w:t> pour bien doser l’argile, en prélevant la poudre directement dans le sac (cliquez sur la photo ci-contre pour zoomer). De cette manière, la dose prélevée est </w:t>
      </w:r>
      <w:r>
        <w:rPr>
          <w:rStyle w:val="lev"/>
          <w:rFonts w:ascii="Arial" w:hAnsi="Arial" w:cs="Arial"/>
          <w:color w:val="313131"/>
          <w:sz w:val="23"/>
          <w:szCs w:val="23"/>
        </w:rPr>
        <w:t>adaptée à la taille du sujet</w:t>
      </w:r>
      <w:r>
        <w:rPr>
          <w:rFonts w:ascii="Arial" w:hAnsi="Arial" w:cs="Arial"/>
          <w:color w:val="313131"/>
          <w:sz w:val="23"/>
          <w:szCs w:val="23"/>
        </w:rPr>
        <w:t>. Notez que cette dose avoisine les 24 g pour une main adulte! On est donc loin des petits sachets de 3 g à prendre 3 fois par jour!</w:t>
      </w:r>
    </w:p>
    <w:p w:rsidR="009E20D6" w:rsidRDefault="009E20D6" w:rsidP="009E20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3"/>
          <w:szCs w:val="23"/>
        </w:rPr>
      </w:pPr>
      <w:r>
        <w:rPr>
          <w:rFonts w:ascii="Arial" w:hAnsi="Arial" w:cs="Arial"/>
          <w:color w:val="313131"/>
          <w:sz w:val="23"/>
          <w:szCs w:val="23"/>
        </w:rPr>
        <w:t>Jade Allègre conseille de prendre cette dose versée en pluie dans un verre d’eau après 10 minutes, en remuant pour </w:t>
      </w:r>
      <w:r>
        <w:rPr>
          <w:rStyle w:val="lev"/>
          <w:rFonts w:ascii="Arial" w:hAnsi="Arial" w:cs="Arial"/>
          <w:color w:val="313131"/>
          <w:sz w:val="23"/>
          <w:szCs w:val="23"/>
        </w:rPr>
        <w:t>boire toute l’argile</w:t>
      </w:r>
      <w:r>
        <w:rPr>
          <w:rFonts w:ascii="Arial" w:hAnsi="Arial" w:cs="Arial"/>
          <w:color w:val="313131"/>
          <w:sz w:val="23"/>
          <w:szCs w:val="23"/>
        </w:rPr>
        <w:t>, et de renouveler l’opération </w:t>
      </w:r>
      <w:r>
        <w:rPr>
          <w:rStyle w:val="lev"/>
          <w:rFonts w:ascii="Arial" w:hAnsi="Arial" w:cs="Arial"/>
          <w:color w:val="313131"/>
          <w:sz w:val="23"/>
          <w:szCs w:val="23"/>
        </w:rPr>
        <w:t>à chaque poussée de diarrhées</w:t>
      </w:r>
      <w:r>
        <w:rPr>
          <w:rFonts w:ascii="Arial" w:hAnsi="Arial" w:cs="Arial"/>
          <w:color w:val="313131"/>
          <w:sz w:val="23"/>
          <w:szCs w:val="23"/>
        </w:rPr>
        <w:t> (ou 3 fois par jour).</w:t>
      </w: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E4831D5" wp14:editId="1F960F06">
            <wp:extent cx="2724150" cy="2724150"/>
            <wp:effectExtent l="0" t="0" r="0" b="0"/>
            <wp:docPr id="1" name="Image 1" descr="https://quotidienmagique.com/wp-content/uploads/2021/0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otidienmagique.com/wp-content/uploads/2021/09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50" cy="27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lang w:eastAsia="fr-FR"/>
        </w:rPr>
      </w:pPr>
    </w:p>
    <w:p w:rsid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lang w:eastAsia="fr-FR"/>
        </w:rPr>
      </w:pPr>
    </w:p>
    <w:p w:rsid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lang w:eastAsia="fr-FR"/>
        </w:rPr>
      </w:pPr>
    </w:p>
    <w:p w:rsidR="009E20D6" w:rsidRP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</w:pPr>
      <w:proofErr w:type="spellStart"/>
      <w:r w:rsidRPr="00660C68"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  <w:t>Covid</w:t>
      </w:r>
      <w:proofErr w:type="spellEnd"/>
    </w:p>
    <w:p w:rsidR="009E20D6" w:rsidRDefault="00660C68">
      <w:pPr>
        <w:rPr>
          <w:rFonts w:ascii="Arial" w:hAnsi="Arial" w:cs="Arial"/>
          <w:color w:val="313131"/>
          <w:sz w:val="23"/>
          <w:szCs w:val="23"/>
          <w:shd w:val="clear" w:color="auto" w:fill="FFFFFF"/>
        </w:rPr>
      </w:pP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2 à 3 cuillères à soupe d’argile dans un verre d’eau, 2 à 3 fois par jour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 pendant plusieurs jours. Son expérience a montré qu’il fallait continuer pendant au moins </w:t>
      </w: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1 mois et demi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 pour éviter des rechutes. La dose peut diminuer à 1 cuillère à soupe 2 à 3 fois par jour à la fin du traitement.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P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</w:pPr>
      <w:r w:rsidRPr="00660C68"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  <w:t>Oxyures (vers)</w:t>
      </w:r>
    </w:p>
    <w:p w:rsidR="00660C68" w:rsidRPr="00660C68" w:rsidRDefault="00660C68" w:rsidP="0066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Les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vers morts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sortiront 24 à 72h après l’ingestion et le soulagement se fait sentir dès 20 minutes! Le dosage (à prendre au coucher) est de :</w:t>
      </w:r>
    </w:p>
    <w:p w:rsidR="00660C68" w:rsidRPr="00660C68" w:rsidRDefault="00660C68" w:rsidP="00660C68">
      <w:pPr>
        <w:numPr>
          <w:ilvl w:val="0"/>
          <w:numId w:val="3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1 cuillère à café rase dans 30 ml d’eau pour un nourrisson</w:t>
      </w:r>
    </w:p>
    <w:p w:rsidR="00660C68" w:rsidRPr="00660C68" w:rsidRDefault="00660C68" w:rsidP="00660C68">
      <w:pPr>
        <w:numPr>
          <w:ilvl w:val="0"/>
          <w:numId w:val="3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1 à 2 cuillères à café dans un verre d’eau pour un enfant</w:t>
      </w:r>
    </w:p>
    <w:p w:rsidR="00660C68" w:rsidRPr="00660C68" w:rsidRDefault="00660C68" w:rsidP="00660C68">
      <w:pPr>
        <w:numPr>
          <w:ilvl w:val="0"/>
          <w:numId w:val="3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1 à 2 cuillères à soupe dans un verre d’eau pour un adulte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P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</w:pPr>
      <w:r w:rsidRPr="00660C68"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  <w:t>RGO (reflux gastro œsophagien)</w:t>
      </w:r>
    </w:p>
    <w:p w:rsidR="00660C68" w:rsidRPr="00660C68" w:rsidRDefault="00660C68" w:rsidP="0066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Le dosage recommandé par Jade Allègre pour les nourrissons est de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1 cuillère à café rase dans 20 ml d’eau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. Laisser reposer 10 minutes puis remuer et présenter aux lèvres du bébé. Proposer après chaque repas jusqu’au refus (page 80 de la thèse).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Pr="00660C68" w:rsidRDefault="00660C68" w:rsidP="00660C68">
      <w:pPr>
        <w:shd w:val="clear" w:color="auto" w:fill="FFFFFF"/>
        <w:spacing w:after="255" w:line="312" w:lineRule="atLeast"/>
        <w:outlineLvl w:val="3"/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</w:pPr>
      <w:r w:rsidRPr="00660C68">
        <w:rPr>
          <w:rFonts w:ascii="var(--pchead-font)" w:eastAsia="Times New Roman" w:hAnsi="var(--pchead-font)" w:cs="Times New Roman"/>
          <w:b/>
          <w:bCs/>
          <w:color w:val="313131"/>
          <w:sz w:val="27"/>
          <w:szCs w:val="27"/>
          <w:u w:val="single"/>
          <w:lang w:eastAsia="fr-FR"/>
        </w:rPr>
        <w:lastRenderedPageBreak/>
        <w:t>Détoxication, prévention, entretien</w:t>
      </w:r>
    </w:p>
    <w:p w:rsidR="00660C68" w:rsidRPr="00660C68" w:rsidRDefault="00660C68" w:rsidP="00660C6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En cure de 10 ou 21 jours (ou plus: écouter toujours votre corps), prendre chaque jour :</w:t>
      </w:r>
    </w:p>
    <w:p w:rsidR="00660C68" w:rsidRPr="00660C68" w:rsidRDefault="00660C68" w:rsidP="00660C68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1 </w:t>
      </w:r>
      <w:proofErr w:type="spellStart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cac</w:t>
      </w:r>
      <w:proofErr w:type="spellEnd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 dans un verre d’eau pour les adultes</w:t>
      </w:r>
    </w:p>
    <w:p w:rsidR="00660C68" w:rsidRPr="00660C68" w:rsidRDefault="00660C68" w:rsidP="00660C68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1/2 </w:t>
      </w:r>
      <w:proofErr w:type="spellStart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cac</w:t>
      </w:r>
      <w:proofErr w:type="spellEnd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 dans un verre d’eau pour les enfants de 2 à 6 ans</w:t>
      </w:r>
    </w:p>
    <w:p w:rsidR="00660C68" w:rsidRPr="00660C68" w:rsidRDefault="00660C68" w:rsidP="00660C68">
      <w:pPr>
        <w:numPr>
          <w:ilvl w:val="0"/>
          <w:numId w:val="4"/>
        </w:numPr>
        <w:shd w:val="clear" w:color="auto" w:fill="FFFFFF"/>
        <w:spacing w:after="9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1/4 </w:t>
      </w:r>
      <w:proofErr w:type="spellStart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cac</w:t>
      </w:r>
      <w:proofErr w:type="spellEnd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 dans un verre d’eau pour les enfants de moins de 2 ans</w:t>
      </w:r>
    </w:p>
    <w:p w:rsidR="00660C68" w:rsidRPr="00660C68" w:rsidRDefault="00660C68" w:rsidP="0066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Préférez l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e soir au coucher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s’il y a une tendance à la constipation. (Cet effet se dissipe après les 3 premiers jours, sinon faites une pause.) Jade Allègre recommande de se fier à son corps pour savoir quand arrêter la cure et quand la reprendre.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Pr="00660C68" w:rsidRDefault="00660C68" w:rsidP="00660C68">
      <w:pPr>
        <w:shd w:val="clear" w:color="auto" w:fill="FFFFFF"/>
        <w:spacing w:after="255" w:line="312" w:lineRule="atLeast"/>
        <w:outlineLvl w:val="2"/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</w:pPr>
      <w:r w:rsidRPr="00660C68"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  <w:t>En externe, pour quels usages?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morsures de serpent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dermatoses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rhumatismes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otites 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(l’application se fera derrière l’oreille, entre le pavillon et le crâne)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verrues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ongles incarnés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débuts de furoncle et autres infections sous-cutanées</w:t>
      </w:r>
    </w:p>
    <w:p w:rsidR="00660C68" w:rsidRPr="00660C68" w:rsidRDefault="00660C68" w:rsidP="00660C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Cs/>
          <w:color w:val="313131"/>
          <w:sz w:val="23"/>
          <w:szCs w:val="23"/>
          <w:lang w:eastAsia="fr-FR"/>
        </w:rPr>
        <w:t>les migraines…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Pr="00660C68" w:rsidRDefault="00660C68" w:rsidP="00660C68">
      <w:pPr>
        <w:shd w:val="clear" w:color="auto" w:fill="FFFFFF"/>
        <w:spacing w:after="255" w:line="312" w:lineRule="atLeast"/>
        <w:outlineLvl w:val="2"/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</w:pPr>
      <w:r w:rsidRPr="00660C68">
        <w:rPr>
          <w:rFonts w:ascii="var(--pchead-font)" w:eastAsia="Times New Roman" w:hAnsi="var(--pchead-font)" w:cs="Times New Roman"/>
          <w:b/>
          <w:bCs/>
          <w:color w:val="313131"/>
          <w:sz w:val="30"/>
          <w:szCs w:val="30"/>
          <w:u w:val="single"/>
          <w:lang w:eastAsia="fr-FR"/>
        </w:rPr>
        <w:t>Comment préparer et appliquer un cataplasme d’argile?</w:t>
      </w:r>
    </w:p>
    <w:p w:rsidR="00660C68" w:rsidRPr="00660C68" w:rsidRDefault="00660C68" w:rsidP="0066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Verser dans un récipient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un peu d’eau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(1 à 2 cuillères à soupe par exemple, cela dépend de la surface à couvrir) puis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ajouter l’argile en pluie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(une argile surfine sera plus facile à mélanger). Laisser l’argile (surfine ou ventilée) gonfler au contact de l’eau 5-10 minutes puis remuer pour obtenir une pâte.</w:t>
      </w:r>
    </w:p>
    <w:p w:rsidR="00660C68" w:rsidRPr="00660C68" w:rsidRDefault="00660C68" w:rsidP="00660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Appliquer la pâte en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couche épaisse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de 2 cm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en débordant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de la zone à traiter (2 cm autour). Une bonne épaisseur d’argile est très importante pour une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réelle efficacité.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Laisser poser ensuite:</w:t>
      </w:r>
    </w:p>
    <w:p w:rsidR="00660C68" w:rsidRPr="00660C68" w:rsidRDefault="00660C68" w:rsidP="00660C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soit 2h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 en </w:t>
      </w:r>
      <w:proofErr w:type="spellStart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pschittant</w:t>
      </w:r>
      <w:proofErr w:type="spellEnd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 régulièrement le cataplasme 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pour éviter qu’il sèche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(avec un pulvérisateur rempli d’</w:t>
      </w:r>
      <w:hyperlink r:id="rId7" w:tgtFrame="_blank" w:history="1">
        <w:r w:rsidRPr="00660C68">
          <w:rPr>
            <w:rFonts w:ascii="Arial" w:eastAsia="Times New Roman" w:hAnsi="Arial" w:cs="Arial"/>
            <w:color w:val="536600"/>
            <w:sz w:val="23"/>
            <w:szCs w:val="23"/>
            <w:lang w:eastAsia="fr-FR"/>
          </w:rPr>
          <w:t>eau filtrée</w:t>
        </w:r>
      </w:hyperlink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)</w:t>
      </w:r>
    </w:p>
    <w:p w:rsidR="00660C68" w:rsidRPr="00660C68" w:rsidRDefault="00660C68" w:rsidP="00660C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soit toute une nuit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 en posant dessus un mouchoir plié fixé avec une bande ou un filet type </w:t>
      </w:r>
      <w:proofErr w:type="spellStart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surgifix</w:t>
      </w:r>
      <w:proofErr w:type="spellEnd"/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 xml:space="preserve"> </w:t>
      </w:r>
      <w:r w:rsidRPr="00660C68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Renouveler</w:t>
      </w:r>
      <w:r w:rsidRPr="00660C68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jusqu’au résultat escompté</w:t>
      </w: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660C68" w:rsidRDefault="00660C68">
      <w:pPr>
        <w:rPr>
          <w:rFonts w:ascii="Arial" w:hAnsi="Arial" w:cs="Arial"/>
          <w:color w:val="000000"/>
          <w:spacing w:val="-1"/>
          <w:shd w:val="clear" w:color="auto" w:fill="FFFFFF"/>
        </w:rPr>
      </w:pP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Concernant </w:t>
      </w: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les plaies et les brûlures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 (on évitera d’utiliser l’argile sur une plaie avec points</w:t>
      </w:r>
      <w:r w:rsidR="005C1740">
        <w:rPr>
          <w:rFonts w:ascii="Arial" w:hAnsi="Arial" w:cs="Arial"/>
          <w:color w:val="313131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il est conseillé de placer une </w:t>
      </w: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gaze stérile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 sur la surface à traiter, avant d’ajouter le cataplasme d’argile. Cela facilitera bien sûr le change. La cicatrisation est absolument spectaculaire puisque </w:t>
      </w: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sans aucune trace,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 contrairement à la plupart des autres traitements, mais nécessite de la </w:t>
      </w:r>
      <w:r>
        <w:rPr>
          <w:rStyle w:val="lev"/>
          <w:rFonts w:ascii="Arial" w:hAnsi="Arial" w:cs="Arial"/>
          <w:color w:val="313131"/>
          <w:sz w:val="23"/>
          <w:szCs w:val="23"/>
          <w:shd w:val="clear" w:color="auto" w:fill="FFFFFF"/>
        </w:rPr>
        <w:t>persévérance</w:t>
      </w:r>
      <w:r>
        <w:rPr>
          <w:rFonts w:ascii="Arial" w:hAnsi="Arial" w:cs="Arial"/>
          <w:color w:val="313131"/>
          <w:sz w:val="23"/>
          <w:szCs w:val="23"/>
          <w:shd w:val="clear" w:color="auto" w:fill="FFFFFF"/>
        </w:rPr>
        <w:t>!</w:t>
      </w:r>
    </w:p>
    <w:p w:rsidR="009E20D6" w:rsidRDefault="009E20D6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5C1740" w:rsidRDefault="005C1740">
      <w:pPr>
        <w:rPr>
          <w:rFonts w:ascii="Arial" w:hAnsi="Arial" w:cs="Arial"/>
          <w:color w:val="000000"/>
          <w:spacing w:val="-1"/>
          <w:shd w:val="clear" w:color="auto" w:fill="FFFFFF"/>
        </w:rPr>
      </w:pPr>
    </w:p>
    <w:p w:rsidR="009E20D6" w:rsidRPr="009E20D6" w:rsidRDefault="009E20D6" w:rsidP="009E20D6">
      <w:pPr>
        <w:shd w:val="clear" w:color="auto" w:fill="FFFFFF"/>
        <w:spacing w:after="255" w:line="312" w:lineRule="atLeast"/>
        <w:outlineLvl w:val="1"/>
        <w:rPr>
          <w:rFonts w:ascii="var(--pchead-font)" w:eastAsia="Times New Roman" w:hAnsi="var(--pchead-font)" w:cs="Times New Roman"/>
          <w:b/>
          <w:bCs/>
          <w:color w:val="313131"/>
          <w:sz w:val="33"/>
          <w:szCs w:val="33"/>
          <w:u w:val="single"/>
          <w:lang w:eastAsia="fr-FR"/>
        </w:rPr>
      </w:pPr>
      <w:r w:rsidRPr="009E20D6">
        <w:rPr>
          <w:rFonts w:ascii="var(--pchead-font)" w:eastAsia="Times New Roman" w:hAnsi="var(--pchead-font)" w:cs="Times New Roman"/>
          <w:b/>
          <w:bCs/>
          <w:color w:val="313131"/>
          <w:sz w:val="33"/>
          <w:szCs w:val="33"/>
          <w:u w:val="single"/>
          <w:lang w:eastAsia="fr-FR"/>
        </w:rPr>
        <w:lastRenderedPageBreak/>
        <w:t>Les contre-indications à l’argile</w:t>
      </w:r>
    </w:p>
    <w:p w:rsidR="009E20D6" w:rsidRPr="009E20D6" w:rsidRDefault="009E20D6" w:rsidP="009E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u w:val="single"/>
          <w:lang w:eastAsia="fr-FR"/>
        </w:rPr>
        <w:t>En interne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, Jade Allègre mentionne principalement (page 76 de sa thèse) les contre-indications suivantes:</w:t>
      </w:r>
    </w:p>
    <w:p w:rsidR="009E20D6" w:rsidRPr="009E20D6" w:rsidRDefault="009E20D6" w:rsidP="009E20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l’insuffisance rénale grave</w:t>
      </w:r>
    </w:p>
    <w:p w:rsidR="009E20D6" w:rsidRPr="009E20D6" w:rsidRDefault="009E20D6" w:rsidP="009E20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les antécédents d’occlusion intestinale*</w:t>
      </w:r>
    </w:p>
    <w:p w:rsidR="009E20D6" w:rsidRPr="009E20D6" w:rsidRDefault="009E20D6" w:rsidP="009E20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la prise de médicaments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: dans ce cas, il faut laisser passer 4 heures après la prise d’argile avant d’ingérer des médicaments. Par contre, si les médicaments sont pris à jeun, il suffit d’attendre 30 minutes avant de prendre l’argile.</w:t>
      </w:r>
    </w:p>
    <w:p w:rsidR="009E20D6" w:rsidRPr="009E20D6" w:rsidRDefault="009E20D6" w:rsidP="009E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* en cas de tendance à la </w:t>
      </w: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constipation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, prendre l’argile en interne le soir AU COUCHER</w:t>
      </w:r>
    </w:p>
    <w:p w:rsidR="009E20D6" w:rsidRDefault="009E20D6"/>
    <w:p w:rsidR="009E20D6" w:rsidRPr="009E20D6" w:rsidRDefault="009E20D6" w:rsidP="009E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u w:val="single"/>
          <w:lang w:eastAsia="fr-FR"/>
        </w:rPr>
        <w:t>En externe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, on évitera d’utiliser l’argile sur</w:t>
      </w:r>
    </w:p>
    <w:p w:rsidR="009E20D6" w:rsidRPr="009E20D6" w:rsidRDefault="009E20D6" w:rsidP="009E20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une cicatrice comportant des points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, car l’argile fait remonter les impuretés et peut ainsi faire « sauter » les points</w:t>
      </w:r>
    </w:p>
    <w:p w:rsidR="009E20D6" w:rsidRPr="009E20D6" w:rsidRDefault="009E20D6" w:rsidP="009E20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3"/>
          <w:szCs w:val="23"/>
          <w:lang w:eastAsia="fr-FR"/>
        </w:rPr>
      </w:pP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une plaie ouverte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: les médecins tomberont littéralement à la renverse si vous pratiquez cela! Jade Allègre, quant à elle, l’a pratiqué sur les plaies et même sur les brûlures (avec une réparation spectaculaire sans cicatrice: </w:t>
      </w:r>
      <w:hyperlink r:id="rId8" w:tgtFrame="_blank" w:history="1">
        <w:r w:rsidRPr="009E20D6">
          <w:rPr>
            <w:rFonts w:ascii="Arial" w:eastAsia="Times New Roman" w:hAnsi="Arial" w:cs="Arial"/>
            <w:color w:val="536600"/>
            <w:sz w:val="23"/>
            <w:szCs w:val="23"/>
            <w:lang w:eastAsia="fr-FR"/>
          </w:rPr>
          <w:t>jetez un œil ici</w:t>
        </w:r>
      </w:hyperlink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!). Dans ce cas, une </w:t>
      </w:r>
      <w:r w:rsidRPr="009E20D6">
        <w:rPr>
          <w:rFonts w:ascii="Arial" w:eastAsia="Times New Roman" w:hAnsi="Arial" w:cs="Arial"/>
          <w:b/>
          <w:bCs/>
          <w:color w:val="313131"/>
          <w:sz w:val="23"/>
          <w:szCs w:val="23"/>
          <w:lang w:eastAsia="fr-FR"/>
        </w:rPr>
        <w:t>gaze</w:t>
      </w:r>
      <w:r w:rsidRPr="009E20D6">
        <w:rPr>
          <w:rFonts w:ascii="Arial" w:eastAsia="Times New Roman" w:hAnsi="Arial" w:cs="Arial"/>
          <w:color w:val="313131"/>
          <w:sz w:val="23"/>
          <w:szCs w:val="23"/>
          <w:lang w:eastAsia="fr-FR"/>
        </w:rPr>
        <w:t> sera bienvenue pour recueillir le cataplasme d’argile avant de l’appliquer sur la plaie et faciliter ainsi le change.</w:t>
      </w:r>
    </w:p>
    <w:p w:rsidR="009E20D6" w:rsidRDefault="009E20D6"/>
    <w:sectPr w:rsidR="009E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pchead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AA7"/>
    <w:multiLevelType w:val="multilevel"/>
    <w:tmpl w:val="D32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3314D"/>
    <w:multiLevelType w:val="multilevel"/>
    <w:tmpl w:val="154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A1F44"/>
    <w:multiLevelType w:val="multilevel"/>
    <w:tmpl w:val="462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E72FF"/>
    <w:multiLevelType w:val="multilevel"/>
    <w:tmpl w:val="D7F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6688B"/>
    <w:multiLevelType w:val="multilevel"/>
    <w:tmpl w:val="E33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E38C0"/>
    <w:multiLevelType w:val="multilevel"/>
    <w:tmpl w:val="94B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57556"/>
    <w:multiLevelType w:val="multilevel"/>
    <w:tmpl w:val="7D2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6"/>
    <w:rsid w:val="001749D1"/>
    <w:rsid w:val="005C1740"/>
    <w:rsid w:val="00660C68"/>
    <w:rsid w:val="0073763A"/>
    <w:rsid w:val="009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20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2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20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2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O5d66jl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otidienmagique.com/berkey-filtre-eau-autonome-perform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2022-01-24T14:10:00Z</dcterms:created>
  <dcterms:modified xsi:type="dcterms:W3CDTF">2022-01-24T14:35:00Z</dcterms:modified>
</cp:coreProperties>
</file>